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8B7A" w14:textId="77777777" w:rsidR="00FA7511" w:rsidRPr="00FA7511" w:rsidRDefault="00FA7511" w:rsidP="000B0A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7511">
        <w:rPr>
          <w:rFonts w:ascii="Times New Roman" w:hAnsi="Times New Roman" w:cs="Times New Roman"/>
          <w:b/>
          <w:sz w:val="20"/>
          <w:szCs w:val="20"/>
        </w:rPr>
        <w:t>Trial Rights and Procedures</w:t>
      </w:r>
    </w:p>
    <w:p w14:paraId="7A488B7B" w14:textId="77777777" w:rsidR="00AD1379" w:rsidRDefault="00AD1379" w:rsidP="00FA75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488B7C" w14:textId="10F7795F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1.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I have the right to be represented by counsel throughout these proceedings.</w:t>
      </w:r>
    </w:p>
    <w:p w14:paraId="7A488B7D" w14:textId="43142E84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2.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if I cannot afford an attorney one may be provided without cost to me (applies to misdemeanor offense 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511">
        <w:rPr>
          <w:rFonts w:ascii="Times New Roman" w:hAnsi="Times New Roman" w:cs="Times New Roman"/>
          <w:sz w:val="20"/>
          <w:szCs w:val="20"/>
        </w:rPr>
        <w:t>traffic offense in which jail is requested).</w:t>
      </w:r>
    </w:p>
    <w:p w14:paraId="7A488B7E" w14:textId="5EFB3F33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3.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the charge(s) against me carries a possible fine of $</w:t>
      </w:r>
      <w:r w:rsidR="000B0A87">
        <w:rPr>
          <w:rFonts w:ascii="Times New Roman" w:hAnsi="Times New Roman" w:cs="Times New Roman"/>
          <w:sz w:val="20"/>
          <w:szCs w:val="20"/>
        </w:rPr>
        <w:t>2650</w:t>
      </w:r>
      <w:r w:rsidRPr="00FA7511">
        <w:rPr>
          <w:rFonts w:ascii="Times New Roman" w:hAnsi="Times New Roman" w:cs="Times New Roman"/>
          <w:sz w:val="20"/>
          <w:szCs w:val="20"/>
        </w:rPr>
        <w:t xml:space="preserve">.00 and up to </w:t>
      </w:r>
      <w:r w:rsidR="000B0A87">
        <w:rPr>
          <w:rFonts w:ascii="Times New Roman" w:hAnsi="Times New Roman" w:cs="Times New Roman"/>
          <w:sz w:val="20"/>
          <w:szCs w:val="20"/>
        </w:rPr>
        <w:t>364 days</w:t>
      </w:r>
      <w:r w:rsidRPr="00FA7511">
        <w:rPr>
          <w:rFonts w:ascii="Times New Roman" w:hAnsi="Times New Roman" w:cs="Times New Roman"/>
          <w:sz w:val="20"/>
          <w:szCs w:val="20"/>
        </w:rPr>
        <w:t xml:space="preserve"> in jail (for traffic infractions</w:t>
      </w:r>
      <w:bookmarkStart w:id="0" w:name="_GoBack"/>
      <w:bookmarkEnd w:id="0"/>
      <w:r w:rsidRPr="00FA7511">
        <w:rPr>
          <w:rFonts w:ascii="Times New Roman" w:hAnsi="Times New Roman" w:cs="Times New Roman"/>
          <w:sz w:val="20"/>
          <w:szCs w:val="20"/>
        </w:rPr>
        <w:t>, the possible penalty is a fine of $500 and no jail).</w:t>
      </w:r>
    </w:p>
    <w:p w14:paraId="7A488B7F" w14:textId="2FC2D035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4.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am not under the influence of any drug, medication, or alcohol that would impair my ability to think and make judgments.</w:t>
      </w:r>
    </w:p>
    <w:p w14:paraId="7A488B80" w14:textId="623EF6FD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5.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There is no reason why I may not understand these proceedings.</w:t>
      </w:r>
    </w:p>
    <w:p w14:paraId="7A488B81" w14:textId="7C292E17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6.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while I have the right to represent myself, I am taking a great risk of not properly presenting my defense.</w:t>
      </w:r>
    </w:p>
    <w:p w14:paraId="7A488B82" w14:textId="520390A8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7.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although I am representing myself, I still have the right to remain silent and not testify in my own defense.</w:t>
      </w:r>
    </w:p>
    <w:p w14:paraId="7A488B83" w14:textId="3FDB9A7F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8.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I have the right to confront witnesses against me and to cross-examine them, that is, to ask questions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511">
        <w:rPr>
          <w:rFonts w:ascii="Times New Roman" w:hAnsi="Times New Roman" w:cs="Times New Roman"/>
          <w:sz w:val="20"/>
          <w:szCs w:val="20"/>
        </w:rPr>
        <w:t>them.</w:t>
      </w:r>
    </w:p>
    <w:p w14:paraId="7A488B84" w14:textId="78EF7CC3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9.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 xml:space="preserve"> I understand that I have the right to compel (subpoena) witnesses to appear and testify on my own behalf and ask them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511">
        <w:rPr>
          <w:rFonts w:ascii="Times New Roman" w:hAnsi="Times New Roman" w:cs="Times New Roman"/>
          <w:sz w:val="20"/>
          <w:szCs w:val="20"/>
        </w:rPr>
        <w:t>questions about the case.</w:t>
      </w:r>
    </w:p>
    <w:p w14:paraId="7A488B85" w14:textId="7F73DD5E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10.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Knowing my right to the assistance of counsel and knowing the disadvantages of proce</w:t>
      </w:r>
      <w:r>
        <w:rPr>
          <w:rFonts w:ascii="Times New Roman" w:hAnsi="Times New Roman" w:cs="Times New Roman"/>
          <w:sz w:val="20"/>
          <w:szCs w:val="20"/>
        </w:rPr>
        <w:t>eding without the assistance of c</w:t>
      </w:r>
      <w:r w:rsidRPr="00FA7511">
        <w:rPr>
          <w:rFonts w:ascii="Times New Roman" w:hAnsi="Times New Roman" w:cs="Times New Roman"/>
          <w:sz w:val="20"/>
          <w:szCs w:val="20"/>
        </w:rPr>
        <w:t>ounsel, it is still my desire to represent myself in these proceedings.</w:t>
      </w:r>
    </w:p>
    <w:p w14:paraId="7A488B86" w14:textId="080F6F77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11.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This decision to represent myself is made of my own free will.</w:t>
      </w:r>
    </w:p>
    <w:p w14:paraId="7A488B87" w14:textId="2E359300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12.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the Court is the trier of fact and cannot provide assistance to either side.</w:t>
      </w:r>
    </w:p>
    <w:p w14:paraId="7A488B88" w14:textId="2A002F9F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13.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the Court will hear all of the legally admissible evidence before making a decision.</w:t>
      </w:r>
    </w:p>
    <w:p w14:paraId="7A488B89" w14:textId="2CDB7581" w:rsidR="00FA7511" w:rsidRPr="00FA7511" w:rsidRDefault="00FA7511" w:rsidP="000B0A87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14. </w:t>
      </w:r>
      <w:r w:rsidR="000B0A87"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I understand that since I have chosen to act as my own legal counsel, the Court will require m</w:t>
      </w:r>
      <w:r>
        <w:rPr>
          <w:rFonts w:ascii="Times New Roman" w:hAnsi="Times New Roman" w:cs="Times New Roman"/>
          <w:sz w:val="20"/>
          <w:szCs w:val="20"/>
        </w:rPr>
        <w:t xml:space="preserve">e to follow the normal rules of </w:t>
      </w:r>
      <w:r w:rsidRPr="00FA7511">
        <w:rPr>
          <w:rFonts w:ascii="Times New Roman" w:hAnsi="Times New Roman" w:cs="Times New Roman"/>
          <w:sz w:val="20"/>
          <w:szCs w:val="20"/>
        </w:rPr>
        <w:t>procedure and evidence in the trial.</w:t>
      </w:r>
    </w:p>
    <w:p w14:paraId="7A488B8A" w14:textId="77777777" w:rsidR="00FA7511" w:rsidRDefault="00FA7511" w:rsidP="00FA75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488B8B" w14:textId="77777777" w:rsidR="00FA7511" w:rsidRDefault="00FA7511" w:rsidP="00FA75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A7511">
        <w:rPr>
          <w:rFonts w:ascii="Times New Roman" w:hAnsi="Times New Roman" w:cs="Times New Roman"/>
          <w:b/>
          <w:sz w:val="20"/>
          <w:szCs w:val="20"/>
        </w:rPr>
        <w:t>Trial Procedure and Order</w:t>
      </w:r>
    </w:p>
    <w:p w14:paraId="7A488B8C" w14:textId="77777777" w:rsidR="00AD1379" w:rsidRPr="00FA7511" w:rsidRDefault="00AD1379" w:rsidP="00FA75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A488B8D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Opening statements – optional, are not evidence; and not arguments. They are intended to give the Court a good blueprint of that each side will show during the case. Defendant may reserve until after City’s evidence.</w:t>
      </w:r>
    </w:p>
    <w:p w14:paraId="7A488B8E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Presentation of witnesses/ evidence by the City. The City has the burden to prove the case beyond a reasonable doubt.</w:t>
      </w:r>
    </w:p>
    <w:p w14:paraId="7A488B8F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Cross-examination of the City’s witnesses – optional for the defendant.</w:t>
      </w:r>
    </w:p>
    <w:p w14:paraId="7A488B90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Curtis Advisement- the defendant will be advised of the right to testify or not testify and be subject to cross-examination.</w:t>
      </w:r>
    </w:p>
    <w:p w14:paraId="7A488B91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(Opening statement if reserved by the defendant- optional).</w:t>
      </w:r>
    </w:p>
    <w:p w14:paraId="7A488B92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Defense presentation of witnesses/ evidence – optional. No burden on the defendant.</w:t>
      </w:r>
    </w:p>
    <w:p w14:paraId="7A488B93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Rebuttal witnesses – may or may not occur.</w:t>
      </w:r>
    </w:p>
    <w:p w14:paraId="7A488B94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Closing arguments – optional. Comment on the evidence and apply law, however are not evidence.</w:t>
      </w:r>
    </w:p>
    <w:p w14:paraId="7A488B95" w14:textId="77777777" w:rsidR="00FA7511" w:rsidRPr="00FA7511" w:rsidRDefault="00FA7511" w:rsidP="00B47E3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Decision by the Court.</w:t>
      </w:r>
    </w:p>
    <w:p w14:paraId="7A488B96" w14:textId="77777777" w:rsidR="00FA7511" w:rsidRPr="00FA7511" w:rsidRDefault="00FA7511" w:rsidP="00FA75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FBB137" w14:textId="77777777" w:rsidR="000B0A87" w:rsidRPr="00FA7511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b/>
          <w:sz w:val="20"/>
          <w:szCs w:val="20"/>
        </w:rPr>
        <w:t>Curtis Advisement</w:t>
      </w:r>
      <w:r w:rsidRPr="00FA7511">
        <w:rPr>
          <w:rFonts w:ascii="Times New Roman" w:hAnsi="Times New Roman" w:cs="Times New Roman"/>
          <w:sz w:val="20"/>
          <w:szCs w:val="20"/>
        </w:rPr>
        <w:t>- You have the right to testify, if you wish to testify- no one can prevent you fr</w:t>
      </w:r>
      <w:r>
        <w:rPr>
          <w:rFonts w:ascii="Times New Roman" w:hAnsi="Times New Roman" w:cs="Times New Roman"/>
          <w:sz w:val="20"/>
          <w:szCs w:val="20"/>
        </w:rPr>
        <w:t xml:space="preserve">om doing so. If you do testify, </w:t>
      </w:r>
      <w:r w:rsidRPr="00FA7511">
        <w:rPr>
          <w:rFonts w:ascii="Times New Roman" w:hAnsi="Times New Roman" w:cs="Times New Roman"/>
          <w:sz w:val="20"/>
          <w:szCs w:val="20"/>
        </w:rPr>
        <w:t>the prosecution will be allowed to cross-examine you regarding any felony convictions or false reporting convictions.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511">
        <w:rPr>
          <w:rFonts w:ascii="Times New Roman" w:hAnsi="Times New Roman" w:cs="Times New Roman"/>
          <w:sz w:val="20"/>
          <w:szCs w:val="20"/>
        </w:rPr>
        <w:t xml:space="preserve"> If a f</w:t>
      </w:r>
      <w:r>
        <w:rPr>
          <w:rFonts w:ascii="Times New Roman" w:hAnsi="Times New Roman" w:cs="Times New Roman"/>
          <w:sz w:val="20"/>
          <w:szCs w:val="20"/>
        </w:rPr>
        <w:t xml:space="preserve">elony </w:t>
      </w:r>
      <w:r w:rsidRPr="00FA7511">
        <w:rPr>
          <w:rFonts w:ascii="Times New Roman" w:hAnsi="Times New Roman" w:cs="Times New Roman"/>
          <w:sz w:val="20"/>
          <w:szCs w:val="20"/>
        </w:rPr>
        <w:t xml:space="preserve">or false reporting conviction is disclosed to the Court through the prosecutions’ cross-examination, </w:t>
      </w:r>
      <w:r>
        <w:rPr>
          <w:rFonts w:ascii="Times New Roman" w:hAnsi="Times New Roman" w:cs="Times New Roman"/>
          <w:sz w:val="20"/>
          <w:szCs w:val="20"/>
        </w:rPr>
        <w:t xml:space="preserve">the Court will only consider it </w:t>
      </w:r>
      <w:r w:rsidRPr="00FA7511">
        <w:rPr>
          <w:rFonts w:ascii="Times New Roman" w:hAnsi="Times New Roman" w:cs="Times New Roman"/>
          <w:sz w:val="20"/>
          <w:szCs w:val="20"/>
        </w:rPr>
        <w:t>as to it bear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A7511">
        <w:rPr>
          <w:rFonts w:ascii="Times New Roman" w:hAnsi="Times New Roman" w:cs="Times New Roman"/>
          <w:sz w:val="20"/>
          <w:szCs w:val="20"/>
        </w:rPr>
        <w:t xml:space="preserve"> upon your credibility and for no other purpose.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511">
        <w:rPr>
          <w:rFonts w:ascii="Times New Roman" w:hAnsi="Times New Roman" w:cs="Times New Roman"/>
          <w:sz w:val="20"/>
          <w:szCs w:val="20"/>
        </w:rPr>
        <w:t xml:space="preserve">You also have the right to not testify.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511">
        <w:rPr>
          <w:rFonts w:ascii="Times New Roman" w:hAnsi="Times New Roman" w:cs="Times New Roman"/>
          <w:sz w:val="20"/>
          <w:szCs w:val="20"/>
        </w:rPr>
        <w:t>If you choose</w:t>
      </w:r>
      <w:r>
        <w:rPr>
          <w:rFonts w:ascii="Times New Roman" w:hAnsi="Times New Roman" w:cs="Times New Roman"/>
          <w:sz w:val="20"/>
          <w:szCs w:val="20"/>
        </w:rPr>
        <w:t xml:space="preserve"> not to testify, </w:t>
      </w:r>
      <w:r w:rsidRPr="00FA7511">
        <w:rPr>
          <w:rFonts w:ascii="Times New Roman" w:hAnsi="Times New Roman" w:cs="Times New Roman"/>
          <w:sz w:val="20"/>
          <w:szCs w:val="20"/>
        </w:rPr>
        <w:t>the Court will not use that against you in any way.</w:t>
      </w:r>
    </w:p>
    <w:p w14:paraId="0CCA3C83" w14:textId="77777777" w:rsidR="000B0A87" w:rsidRPr="00FA7511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80238A" w14:textId="77777777" w:rsidR="000B0A87" w:rsidRPr="00FA7511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I have read and understand the above listed rights and procedures.</w:t>
      </w:r>
    </w:p>
    <w:p w14:paraId="5FE04D92" w14:textId="77777777" w:rsidR="000B0A87" w:rsidRPr="00FA7511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0CD2E6" w14:textId="77777777" w:rsidR="000B0A87" w:rsidRPr="00FA7511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  <w:r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76039ADE" w14:textId="77777777" w:rsidR="000B0A87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 xml:space="preserve">Defendant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A7511">
        <w:rPr>
          <w:rFonts w:ascii="Times New Roman" w:hAnsi="Times New Roman" w:cs="Times New Roman"/>
          <w:sz w:val="20"/>
          <w:szCs w:val="20"/>
        </w:rPr>
        <w:t>Date</w:t>
      </w:r>
    </w:p>
    <w:p w14:paraId="03592446" w14:textId="77777777" w:rsidR="000B0A87" w:rsidRPr="00FA7511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0DD13B05" w14:textId="77777777" w:rsidR="000B0A87" w:rsidRPr="00FA7511" w:rsidRDefault="000B0A87" w:rsidP="000B0A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11">
        <w:rPr>
          <w:rFonts w:ascii="Times New Roman" w:hAnsi="Times New Roman" w:cs="Times New Roman"/>
          <w:sz w:val="20"/>
          <w:szCs w:val="20"/>
        </w:rPr>
        <w:t>Parent/ Guardian (if defendant is under 18)</w:t>
      </w:r>
    </w:p>
    <w:p w14:paraId="7A488B9E" w14:textId="25993E67" w:rsidR="004C162F" w:rsidRPr="00FA7511" w:rsidRDefault="004C162F" w:rsidP="000B0A8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C162F" w:rsidRPr="00FA7511" w:rsidSect="00AD137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FE85" w14:textId="77777777" w:rsidR="00175F4D" w:rsidRDefault="00175F4D" w:rsidP="00175F4D">
      <w:pPr>
        <w:spacing w:after="0" w:line="240" w:lineRule="auto"/>
      </w:pPr>
      <w:r>
        <w:separator/>
      </w:r>
    </w:p>
  </w:endnote>
  <w:endnote w:type="continuationSeparator" w:id="0">
    <w:p w14:paraId="749DD2AD" w14:textId="77777777" w:rsidR="00175F4D" w:rsidRDefault="00175F4D" w:rsidP="0017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DF99D" w14:textId="77777777" w:rsidR="00175F4D" w:rsidRDefault="00175F4D" w:rsidP="00175F4D">
      <w:pPr>
        <w:spacing w:after="0" w:line="240" w:lineRule="auto"/>
      </w:pPr>
      <w:r>
        <w:separator/>
      </w:r>
    </w:p>
  </w:footnote>
  <w:footnote w:type="continuationSeparator" w:id="0">
    <w:p w14:paraId="14335CD5" w14:textId="77777777" w:rsidR="00175F4D" w:rsidRDefault="00175F4D" w:rsidP="0017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1458B"/>
    <w:multiLevelType w:val="hybridMultilevel"/>
    <w:tmpl w:val="341A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1"/>
    <w:rsid w:val="000B0A87"/>
    <w:rsid w:val="00175F4D"/>
    <w:rsid w:val="00346459"/>
    <w:rsid w:val="0045304B"/>
    <w:rsid w:val="004C162F"/>
    <w:rsid w:val="007911FA"/>
    <w:rsid w:val="00AD1379"/>
    <w:rsid w:val="00B47E33"/>
    <w:rsid w:val="00F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8B7A"/>
  <w15:chartTrackingRefBased/>
  <w15:docId w15:val="{5014228D-D3CF-40B9-8F29-59DB21FA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F05E27D2C3C4280ED6DABD920DCF3" ma:contentTypeVersion="12" ma:contentTypeDescription="Create a new document." ma:contentTypeScope="" ma:versionID="e9cd11896a6bd6cc8d4e629299bfd406">
  <xsd:schema xmlns:xsd="http://www.w3.org/2001/XMLSchema" xmlns:xs="http://www.w3.org/2001/XMLSchema" xmlns:p="http://schemas.microsoft.com/office/2006/metadata/properties" xmlns:ns3="4c46dd09-59e6-4be6-a207-18d6bd3fdc34" xmlns:ns4="ce2b8037-fb63-4c8a-a8bd-f8a551fda927" targetNamespace="http://schemas.microsoft.com/office/2006/metadata/properties" ma:root="true" ma:fieldsID="dee0cce1ba88f53ab45edacabb8fc528" ns3:_="" ns4:_="">
    <xsd:import namespace="4c46dd09-59e6-4be6-a207-18d6bd3fdc34"/>
    <xsd:import namespace="ce2b8037-fb63-4c8a-a8bd-f8a551fda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dd09-59e6-4be6-a207-18d6bd3fdc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8037-fb63-4c8a-a8bd-f8a551fda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42932-CDBA-4AEA-958A-1E66D46C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6dd09-59e6-4be6-a207-18d6bd3fdc34"/>
    <ds:schemaRef ds:uri="ce2b8037-fb63-4c8a-a8bd-f8a551fda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C826C-C77A-48A6-B3F5-BF09C9823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D8BC7-5E2C-455C-8A77-B9315152EA2F}">
  <ds:schemaRefs>
    <ds:schemaRef ds:uri="http://schemas.microsoft.com/office/2006/documentManagement/types"/>
    <ds:schemaRef ds:uri="http://schemas.microsoft.com/office/infopath/2007/PartnerControls"/>
    <ds:schemaRef ds:uri="4c46dd09-59e6-4be6-a207-18d6bd3fdc34"/>
    <ds:schemaRef ds:uri="http://purl.org/dc/elements/1.1/"/>
    <ds:schemaRef ds:uri="http://schemas.microsoft.com/office/2006/metadata/properties"/>
    <ds:schemaRef ds:uri="http://purl.org/dc/terms/"/>
    <ds:schemaRef ds:uri="ce2b8037-fb63-4c8a-a8bd-f8a551fda92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4</cp:revision>
  <dcterms:created xsi:type="dcterms:W3CDTF">2022-10-05T14:52:00Z</dcterms:created>
  <dcterms:modified xsi:type="dcterms:W3CDTF">2022-10-05T14:56:00Z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0x010100106F05E27D2C3C4280ED6DABD920DCF3</vt:lpwstr>
  </property>
</Properties>
</file>